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7B1D" w14:textId="77777777" w:rsidR="005F62EF" w:rsidRDefault="005F62EF" w:rsidP="00556281">
      <w:pPr>
        <w:spacing w:after="60" w:line="240" w:lineRule="auto"/>
        <w:rPr>
          <w:rFonts w:ascii="Arial" w:hAnsi="Arial" w:cs="Arial"/>
          <w:b/>
          <w:bCs/>
          <w:sz w:val="24"/>
          <w:szCs w:val="24"/>
        </w:rPr>
      </w:pPr>
    </w:p>
    <w:p w14:paraId="10F08333" w14:textId="10FAABF2" w:rsidR="005F62EF" w:rsidRDefault="005F62EF" w:rsidP="005F62EF">
      <w:pPr>
        <w:spacing w:after="60" w:line="240" w:lineRule="auto"/>
        <w:jc w:val="right"/>
        <w:rPr>
          <w:rFonts w:ascii="Arial" w:hAnsi="Arial" w:cs="Arial"/>
          <w:b/>
          <w:bCs/>
          <w:sz w:val="44"/>
          <w:szCs w:val="44"/>
        </w:rPr>
      </w:pPr>
      <w:r>
        <w:rPr>
          <w:rFonts w:ascii="Arial" w:hAnsi="Arial" w:cs="Arial"/>
          <w:b/>
          <w:bCs/>
          <w:noProof/>
          <w:sz w:val="44"/>
          <w:szCs w:val="44"/>
        </w:rPr>
        <w:drawing>
          <wp:inline distT="0" distB="0" distL="0" distR="0" wp14:anchorId="7BA30C7F" wp14:editId="4B09B9AB">
            <wp:extent cx="2379792" cy="1098851"/>
            <wp:effectExtent l="0" t="0" r="1905" b="6350"/>
            <wp:docPr id="15360146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14635"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2318" cy="1104635"/>
                    </a:xfrm>
                    <a:prstGeom prst="rect">
                      <a:avLst/>
                    </a:prstGeom>
                  </pic:spPr>
                </pic:pic>
              </a:graphicData>
            </a:graphic>
          </wp:inline>
        </w:drawing>
      </w:r>
    </w:p>
    <w:p w14:paraId="4F70B296" w14:textId="38C5A24F" w:rsidR="00556281" w:rsidRDefault="00556281" w:rsidP="005F62EF">
      <w:pPr>
        <w:spacing w:after="60" w:line="240" w:lineRule="auto"/>
        <w:jc w:val="center"/>
        <w:rPr>
          <w:rFonts w:ascii="Arial" w:hAnsi="Arial" w:cs="Arial"/>
          <w:b/>
          <w:bCs/>
          <w:sz w:val="32"/>
          <w:szCs w:val="32"/>
        </w:rPr>
      </w:pPr>
      <w:r w:rsidRPr="005F62EF">
        <w:rPr>
          <w:rFonts w:ascii="Arial" w:hAnsi="Arial" w:cs="Arial"/>
          <w:b/>
          <w:bCs/>
          <w:sz w:val="32"/>
          <w:szCs w:val="32"/>
        </w:rPr>
        <w:t>Patient and carer involvement approaches</w:t>
      </w:r>
    </w:p>
    <w:p w14:paraId="516C8390" w14:textId="77777777" w:rsidR="00421926" w:rsidRPr="005F62EF" w:rsidRDefault="00421926" w:rsidP="005F62EF">
      <w:pPr>
        <w:spacing w:after="60" w:line="240" w:lineRule="auto"/>
        <w:jc w:val="center"/>
        <w:rPr>
          <w:rFonts w:ascii="Arial" w:hAnsi="Arial" w:cs="Arial"/>
          <w:b/>
          <w:bCs/>
          <w:sz w:val="32"/>
          <w:szCs w:val="32"/>
        </w:rPr>
      </w:pPr>
    </w:p>
    <w:tbl>
      <w:tblPr>
        <w:tblStyle w:val="TableGrid"/>
        <w:tblW w:w="15163" w:type="dxa"/>
        <w:tblLayout w:type="fixed"/>
        <w:tblLook w:val="04A0" w:firstRow="1" w:lastRow="0" w:firstColumn="1" w:lastColumn="0" w:noHBand="0" w:noVBand="1"/>
      </w:tblPr>
      <w:tblGrid>
        <w:gridCol w:w="1838"/>
        <w:gridCol w:w="3686"/>
        <w:gridCol w:w="3685"/>
        <w:gridCol w:w="5954"/>
      </w:tblGrid>
      <w:tr w:rsidR="00556281" w:rsidRPr="005F62EF" w14:paraId="4FB08610" w14:textId="77777777" w:rsidTr="00421926">
        <w:trPr>
          <w:trHeight w:val="50"/>
        </w:trPr>
        <w:tc>
          <w:tcPr>
            <w:tcW w:w="1838" w:type="dxa"/>
          </w:tcPr>
          <w:p w14:paraId="317FF3C4" w14:textId="77777777" w:rsidR="00556281" w:rsidRPr="005F62EF" w:rsidRDefault="00556281" w:rsidP="00B67BA3">
            <w:pPr>
              <w:spacing w:after="60"/>
              <w:rPr>
                <w:rFonts w:ascii="Arial" w:hAnsi="Arial" w:cs="Arial"/>
                <w:b/>
                <w:sz w:val="24"/>
                <w:szCs w:val="24"/>
              </w:rPr>
            </w:pPr>
            <w:r w:rsidRPr="005F62EF">
              <w:rPr>
                <w:rFonts w:ascii="Arial" w:hAnsi="Arial" w:cs="Arial"/>
                <w:b/>
                <w:sz w:val="24"/>
                <w:szCs w:val="24"/>
              </w:rPr>
              <w:t>Approach</w:t>
            </w:r>
          </w:p>
        </w:tc>
        <w:tc>
          <w:tcPr>
            <w:tcW w:w="3686" w:type="dxa"/>
          </w:tcPr>
          <w:p w14:paraId="14B786CA" w14:textId="77777777" w:rsidR="00556281" w:rsidRPr="005F62EF" w:rsidRDefault="00556281" w:rsidP="00B67BA3">
            <w:pPr>
              <w:spacing w:after="60"/>
              <w:rPr>
                <w:rFonts w:ascii="Arial" w:hAnsi="Arial" w:cs="Arial"/>
                <w:b/>
                <w:sz w:val="24"/>
                <w:szCs w:val="24"/>
              </w:rPr>
            </w:pPr>
            <w:r w:rsidRPr="005F62EF">
              <w:rPr>
                <w:rFonts w:ascii="Arial" w:hAnsi="Arial" w:cs="Arial"/>
                <w:b/>
                <w:sz w:val="24"/>
                <w:szCs w:val="24"/>
              </w:rPr>
              <w:t>Description</w:t>
            </w:r>
          </w:p>
        </w:tc>
        <w:tc>
          <w:tcPr>
            <w:tcW w:w="3685" w:type="dxa"/>
          </w:tcPr>
          <w:p w14:paraId="5FBAAC07" w14:textId="77777777" w:rsidR="00556281" w:rsidRPr="005F62EF" w:rsidRDefault="00556281" w:rsidP="00B67BA3">
            <w:pPr>
              <w:spacing w:after="60"/>
              <w:rPr>
                <w:rFonts w:ascii="Arial" w:hAnsi="Arial" w:cs="Arial"/>
                <w:b/>
                <w:sz w:val="24"/>
                <w:szCs w:val="24"/>
              </w:rPr>
            </w:pPr>
            <w:r w:rsidRPr="005F62EF">
              <w:rPr>
                <w:rFonts w:ascii="Arial" w:hAnsi="Arial" w:cs="Arial"/>
                <w:b/>
                <w:sz w:val="24"/>
                <w:szCs w:val="24"/>
              </w:rPr>
              <w:t>Benefits and when to use</w:t>
            </w:r>
          </w:p>
        </w:tc>
        <w:tc>
          <w:tcPr>
            <w:tcW w:w="5954" w:type="dxa"/>
          </w:tcPr>
          <w:p w14:paraId="17666EAC" w14:textId="77777777" w:rsidR="00556281" w:rsidRPr="005F62EF" w:rsidRDefault="00556281" w:rsidP="00B67BA3">
            <w:pPr>
              <w:spacing w:after="60"/>
              <w:rPr>
                <w:rFonts w:ascii="Arial" w:hAnsi="Arial" w:cs="Arial"/>
                <w:b/>
                <w:sz w:val="24"/>
                <w:szCs w:val="24"/>
              </w:rPr>
            </w:pPr>
            <w:r w:rsidRPr="005F62EF">
              <w:rPr>
                <w:rFonts w:ascii="Arial" w:hAnsi="Arial" w:cs="Arial"/>
                <w:b/>
                <w:sz w:val="24"/>
                <w:szCs w:val="24"/>
              </w:rPr>
              <w:t>What you will need</w:t>
            </w:r>
          </w:p>
        </w:tc>
      </w:tr>
      <w:tr w:rsidR="00556281" w:rsidRPr="005F62EF" w14:paraId="01EC33C6" w14:textId="77777777" w:rsidTr="00421926">
        <w:tc>
          <w:tcPr>
            <w:tcW w:w="1838" w:type="dxa"/>
          </w:tcPr>
          <w:p w14:paraId="4213FBE3" w14:textId="77777777" w:rsidR="00556281" w:rsidRPr="005F62EF" w:rsidRDefault="00556281" w:rsidP="00B67BA3">
            <w:pPr>
              <w:spacing w:after="60"/>
              <w:rPr>
                <w:rFonts w:ascii="Arial" w:hAnsi="Arial" w:cs="Arial"/>
                <w:b/>
                <w:sz w:val="24"/>
                <w:szCs w:val="24"/>
              </w:rPr>
            </w:pPr>
            <w:r w:rsidRPr="005F62EF">
              <w:rPr>
                <w:rFonts w:ascii="Arial" w:hAnsi="Arial" w:cs="Arial"/>
                <w:b/>
                <w:bCs/>
                <w:sz w:val="24"/>
                <w:szCs w:val="24"/>
              </w:rPr>
              <w:t>Engagement events</w:t>
            </w:r>
          </w:p>
          <w:p w14:paraId="13B318C5" w14:textId="77777777" w:rsidR="00556281" w:rsidRPr="005F62EF" w:rsidRDefault="00556281" w:rsidP="00B67BA3">
            <w:pPr>
              <w:spacing w:after="60"/>
              <w:rPr>
                <w:rFonts w:ascii="Arial" w:hAnsi="Arial" w:cs="Arial"/>
                <w:sz w:val="24"/>
                <w:szCs w:val="24"/>
              </w:rPr>
            </w:pPr>
          </w:p>
        </w:tc>
        <w:tc>
          <w:tcPr>
            <w:tcW w:w="3686" w:type="dxa"/>
          </w:tcPr>
          <w:p w14:paraId="58CA0738" w14:textId="77777777" w:rsidR="00556281" w:rsidRPr="005F62EF" w:rsidRDefault="00556281" w:rsidP="00B67BA3">
            <w:pPr>
              <w:pStyle w:val="Default"/>
              <w:spacing w:after="60"/>
            </w:pPr>
            <w:r w:rsidRPr="005F62EF">
              <w:t>An event based in the local community with 15-30 participants. Participants tend to work in small groups on set discussion topics, although whole group discussions can also be used.</w:t>
            </w:r>
          </w:p>
          <w:p w14:paraId="5983DE63" w14:textId="77777777" w:rsidR="00556281" w:rsidRPr="005F62EF" w:rsidRDefault="00556281" w:rsidP="00B67BA3">
            <w:pPr>
              <w:pStyle w:val="Default"/>
              <w:spacing w:after="60"/>
            </w:pPr>
            <w:r w:rsidRPr="005F62EF">
              <w:t>An excellent way to generate broad discussions with a wide range of people.</w:t>
            </w:r>
          </w:p>
          <w:p w14:paraId="32F75D26" w14:textId="77777777" w:rsidR="00556281" w:rsidRPr="005F62EF" w:rsidRDefault="00556281" w:rsidP="00B67BA3">
            <w:pPr>
              <w:pStyle w:val="Default"/>
              <w:spacing w:after="60"/>
            </w:pPr>
          </w:p>
          <w:p w14:paraId="56BD44D5" w14:textId="77777777" w:rsidR="00556281" w:rsidRPr="005F62EF" w:rsidRDefault="00556281" w:rsidP="00B67BA3">
            <w:pPr>
              <w:spacing w:after="60"/>
              <w:rPr>
                <w:rFonts w:ascii="Arial" w:hAnsi="Arial" w:cs="Arial"/>
                <w:sz w:val="24"/>
                <w:szCs w:val="24"/>
              </w:rPr>
            </w:pPr>
          </w:p>
        </w:tc>
        <w:tc>
          <w:tcPr>
            <w:tcW w:w="3685" w:type="dxa"/>
          </w:tcPr>
          <w:p w14:paraId="36068AE7" w14:textId="77777777" w:rsidR="00556281" w:rsidRPr="005F62EF" w:rsidRDefault="00556281" w:rsidP="00B67BA3">
            <w:pPr>
              <w:pStyle w:val="Default"/>
              <w:spacing w:after="60"/>
            </w:pPr>
            <w:r w:rsidRPr="005F62EF">
              <w:t>Good for gathering broad range of insight or ‘temperature checking’ an idea.</w:t>
            </w:r>
          </w:p>
          <w:p w14:paraId="340B8C7F" w14:textId="77777777" w:rsidR="00556281" w:rsidRPr="005F62EF" w:rsidRDefault="00556281" w:rsidP="00B67BA3">
            <w:pPr>
              <w:pStyle w:val="Default"/>
              <w:spacing w:after="60"/>
            </w:pPr>
            <w:r w:rsidRPr="005F62EF">
              <w:t>You will hear from a wide range of people, which will generate lots of discussion and lots of ideas.</w:t>
            </w:r>
          </w:p>
          <w:p w14:paraId="3A19B00A" w14:textId="77777777" w:rsidR="00556281" w:rsidRPr="005F62EF" w:rsidRDefault="00556281" w:rsidP="00B67BA3">
            <w:pPr>
              <w:pStyle w:val="Default"/>
              <w:spacing w:after="60"/>
            </w:pPr>
            <w:r w:rsidRPr="005F62EF">
              <w:t>It’s worth trying to capture al ideas and ‘car parking’ these even if they’re not relevant to the project – as it’s all valuable insight that can be banked and used to help inform other work.</w:t>
            </w:r>
          </w:p>
          <w:p w14:paraId="0683498D" w14:textId="77777777" w:rsidR="00556281" w:rsidRPr="005F62EF" w:rsidRDefault="00556281" w:rsidP="00B67BA3">
            <w:pPr>
              <w:spacing w:after="60"/>
              <w:rPr>
                <w:rFonts w:ascii="Arial" w:hAnsi="Arial" w:cs="Arial"/>
                <w:sz w:val="24"/>
                <w:szCs w:val="24"/>
              </w:rPr>
            </w:pPr>
            <w:r w:rsidRPr="005F62EF">
              <w:rPr>
                <w:rFonts w:ascii="Arial" w:hAnsi="Arial" w:cs="Arial"/>
                <w:sz w:val="24"/>
                <w:szCs w:val="24"/>
              </w:rPr>
              <w:t>You can use a range of activities within this including individual reflection, pair work, small group work.</w:t>
            </w:r>
          </w:p>
        </w:tc>
        <w:tc>
          <w:tcPr>
            <w:tcW w:w="5954" w:type="dxa"/>
          </w:tcPr>
          <w:p w14:paraId="75A9587F" w14:textId="77777777" w:rsidR="00556281" w:rsidRPr="005F62EF" w:rsidRDefault="00556281" w:rsidP="00556281">
            <w:pPr>
              <w:pStyle w:val="Default"/>
              <w:numPr>
                <w:ilvl w:val="0"/>
                <w:numId w:val="2"/>
              </w:numPr>
              <w:spacing w:after="60"/>
            </w:pPr>
            <w:r w:rsidRPr="005F62EF">
              <w:t>1 or 2 lead facilitators including support for facilitating table discussions</w:t>
            </w:r>
          </w:p>
          <w:p w14:paraId="7CB4FBC4" w14:textId="77777777" w:rsidR="00556281" w:rsidRPr="005F62EF" w:rsidRDefault="00556281" w:rsidP="00556281">
            <w:pPr>
              <w:pStyle w:val="Default"/>
              <w:numPr>
                <w:ilvl w:val="0"/>
                <w:numId w:val="2"/>
              </w:numPr>
              <w:spacing w:after="60"/>
            </w:pPr>
            <w:r w:rsidRPr="005F62EF">
              <w:t>Consent forms – completed and signed</w:t>
            </w:r>
          </w:p>
          <w:p w14:paraId="462B8351" w14:textId="77777777" w:rsidR="00556281" w:rsidRPr="005F62EF" w:rsidRDefault="00556281" w:rsidP="00556281">
            <w:pPr>
              <w:pStyle w:val="Default"/>
              <w:numPr>
                <w:ilvl w:val="0"/>
                <w:numId w:val="2"/>
              </w:numPr>
              <w:spacing w:after="60"/>
            </w:pPr>
            <w:r w:rsidRPr="005F62EF">
              <w:t xml:space="preserve">Terms of use (how you will use, </w:t>
            </w:r>
            <w:proofErr w:type="gramStart"/>
            <w:r w:rsidRPr="005F62EF">
              <w:t>retain</w:t>
            </w:r>
            <w:proofErr w:type="gramEnd"/>
            <w:r w:rsidRPr="005F62EF">
              <w:t xml:space="preserve"> and store the conversations captured)</w:t>
            </w:r>
          </w:p>
          <w:p w14:paraId="0E5990AC" w14:textId="77777777" w:rsidR="00556281" w:rsidRPr="005F62EF" w:rsidRDefault="00556281" w:rsidP="00556281">
            <w:pPr>
              <w:pStyle w:val="Default"/>
              <w:numPr>
                <w:ilvl w:val="0"/>
                <w:numId w:val="2"/>
              </w:numPr>
              <w:spacing w:after="60"/>
            </w:pPr>
            <w:r w:rsidRPr="005F62EF">
              <w:t>Flip chart/s</w:t>
            </w:r>
          </w:p>
          <w:p w14:paraId="1D0FCC96" w14:textId="77777777" w:rsidR="00556281" w:rsidRPr="005F62EF" w:rsidRDefault="00556281" w:rsidP="00556281">
            <w:pPr>
              <w:pStyle w:val="Default"/>
              <w:numPr>
                <w:ilvl w:val="0"/>
                <w:numId w:val="2"/>
              </w:numPr>
              <w:spacing w:after="60"/>
            </w:pPr>
            <w:r w:rsidRPr="005F62EF">
              <w:t>Paper/pens</w:t>
            </w:r>
          </w:p>
          <w:p w14:paraId="02284F84" w14:textId="77777777" w:rsidR="00556281" w:rsidRPr="005F62EF" w:rsidRDefault="00556281" w:rsidP="00556281">
            <w:pPr>
              <w:pStyle w:val="Default"/>
              <w:numPr>
                <w:ilvl w:val="0"/>
                <w:numId w:val="2"/>
              </w:numPr>
              <w:spacing w:after="60"/>
            </w:pPr>
            <w:r w:rsidRPr="005F62EF">
              <w:t>Post it notes</w:t>
            </w:r>
          </w:p>
          <w:p w14:paraId="5F7F3732" w14:textId="77777777" w:rsidR="00556281" w:rsidRPr="005F62EF" w:rsidRDefault="00556281" w:rsidP="00556281">
            <w:pPr>
              <w:pStyle w:val="Default"/>
              <w:numPr>
                <w:ilvl w:val="0"/>
                <w:numId w:val="2"/>
              </w:numPr>
              <w:spacing w:after="60"/>
            </w:pPr>
            <w:r w:rsidRPr="005F62EF">
              <w:t>Recording equipment (audio) to capture conversations – but you would be wise to gain additional opt in/opt out consent for this</w:t>
            </w:r>
          </w:p>
          <w:p w14:paraId="2E755481" w14:textId="77777777" w:rsidR="00556281" w:rsidRPr="005F62EF" w:rsidRDefault="00556281" w:rsidP="00556281">
            <w:pPr>
              <w:pStyle w:val="Default"/>
              <w:numPr>
                <w:ilvl w:val="0"/>
                <w:numId w:val="2"/>
              </w:numPr>
              <w:spacing w:after="60"/>
            </w:pPr>
            <w:r w:rsidRPr="005F62EF">
              <w:t>Photography – for promotional use – as above gain additional specific opt in/opt out consent</w:t>
            </w:r>
          </w:p>
          <w:p w14:paraId="6637B373" w14:textId="77777777" w:rsidR="00556281" w:rsidRPr="005F62EF" w:rsidRDefault="00556281" w:rsidP="00556281">
            <w:pPr>
              <w:pStyle w:val="Default"/>
              <w:numPr>
                <w:ilvl w:val="0"/>
                <w:numId w:val="2"/>
              </w:numPr>
              <w:spacing w:after="60"/>
            </w:pPr>
            <w:r w:rsidRPr="005F62EF">
              <w:t>Feedback to participants after the even with a follow up of how their data/input has been used</w:t>
            </w:r>
          </w:p>
        </w:tc>
      </w:tr>
      <w:tr w:rsidR="00556281" w:rsidRPr="005F62EF" w14:paraId="2839E447" w14:textId="77777777" w:rsidTr="00421926">
        <w:trPr>
          <w:trHeight w:val="3818"/>
        </w:trPr>
        <w:tc>
          <w:tcPr>
            <w:tcW w:w="1838" w:type="dxa"/>
          </w:tcPr>
          <w:p w14:paraId="5D8AE31B" w14:textId="77777777" w:rsidR="00556281" w:rsidRPr="005F62EF" w:rsidRDefault="00556281" w:rsidP="00B67BA3">
            <w:pPr>
              <w:pStyle w:val="Default"/>
              <w:spacing w:after="60"/>
              <w:rPr>
                <w:b/>
                <w:bCs/>
              </w:rPr>
            </w:pPr>
            <w:r w:rsidRPr="005F62EF">
              <w:rPr>
                <w:b/>
                <w:bCs/>
              </w:rPr>
              <w:lastRenderedPageBreak/>
              <w:t>Focus groups</w:t>
            </w:r>
          </w:p>
          <w:p w14:paraId="34377B26" w14:textId="77777777" w:rsidR="00556281" w:rsidRPr="005F62EF" w:rsidRDefault="00556281" w:rsidP="00B67BA3">
            <w:pPr>
              <w:pStyle w:val="Default"/>
              <w:spacing w:after="60"/>
            </w:pPr>
            <w:r w:rsidRPr="005F62EF">
              <w:rPr>
                <w:bCs/>
              </w:rPr>
              <w:t xml:space="preserve"> </w:t>
            </w:r>
          </w:p>
        </w:tc>
        <w:tc>
          <w:tcPr>
            <w:tcW w:w="3686" w:type="dxa"/>
          </w:tcPr>
          <w:p w14:paraId="4F7C2058" w14:textId="77777777" w:rsidR="00556281" w:rsidRPr="005F62EF" w:rsidRDefault="00556281" w:rsidP="00B67BA3">
            <w:pPr>
              <w:pStyle w:val="Default"/>
              <w:spacing w:after="60"/>
            </w:pPr>
            <w:r w:rsidRPr="005F62EF">
              <w:t xml:space="preserve">Small groups of 6-12 people (8 is usually an ideal number </w:t>
            </w:r>
            <w:proofErr w:type="spellStart"/>
            <w:r w:rsidRPr="005F62EF">
              <w:t>anymore</w:t>
            </w:r>
            <w:proofErr w:type="spellEnd"/>
            <w:r w:rsidRPr="005F62EF">
              <w:t xml:space="preserve"> than 10 can be difficult to manage) focusing on a specific issue or topic. </w:t>
            </w:r>
          </w:p>
          <w:p w14:paraId="67F1AB01" w14:textId="77777777" w:rsidR="00556281" w:rsidRPr="005F62EF" w:rsidRDefault="00556281" w:rsidP="00B67BA3">
            <w:pPr>
              <w:pStyle w:val="Default"/>
              <w:spacing w:after="60"/>
            </w:pPr>
            <w:r w:rsidRPr="005F62EF">
              <w:t xml:space="preserve">Can be helpful for speaking to hard-to-reach groups if you are struggling to engage with them at wider community events. </w:t>
            </w:r>
          </w:p>
          <w:p w14:paraId="3D3A39CD" w14:textId="77777777" w:rsidR="00556281" w:rsidRPr="005F62EF" w:rsidRDefault="00556281" w:rsidP="00B67BA3">
            <w:pPr>
              <w:spacing w:after="60"/>
              <w:rPr>
                <w:rFonts w:ascii="Arial" w:hAnsi="Arial" w:cs="Arial"/>
                <w:sz w:val="24"/>
                <w:szCs w:val="24"/>
              </w:rPr>
            </w:pPr>
            <w:r w:rsidRPr="005F62EF">
              <w:rPr>
                <w:rFonts w:ascii="Arial" w:hAnsi="Arial" w:cs="Arial"/>
                <w:sz w:val="24"/>
                <w:szCs w:val="24"/>
              </w:rPr>
              <w:t>1 lead facilitator and a note taker required – although you may benefit form a support facilitator with a number above 8 – just to ensure that those lesser heard voices are picked up.</w:t>
            </w:r>
          </w:p>
        </w:tc>
        <w:tc>
          <w:tcPr>
            <w:tcW w:w="3685" w:type="dxa"/>
          </w:tcPr>
          <w:p w14:paraId="7DC851A6" w14:textId="77777777" w:rsidR="00556281" w:rsidRPr="005F62EF" w:rsidRDefault="00556281" w:rsidP="00B67BA3">
            <w:pPr>
              <w:pStyle w:val="Default"/>
              <w:spacing w:after="60"/>
            </w:pPr>
            <w:r w:rsidRPr="005F62EF">
              <w:t>Can generate very detailed discussions and allows for detailed note capturing.</w:t>
            </w:r>
          </w:p>
          <w:p w14:paraId="08F147E4" w14:textId="77777777" w:rsidR="00556281" w:rsidRPr="005F62EF" w:rsidRDefault="00556281" w:rsidP="00B67BA3">
            <w:pPr>
              <w:pStyle w:val="Default"/>
              <w:spacing w:after="60"/>
            </w:pPr>
            <w:r w:rsidRPr="005F62EF">
              <w:t>Can be held face to face or online.</w:t>
            </w:r>
          </w:p>
          <w:p w14:paraId="2B5FAF99" w14:textId="77777777" w:rsidR="00556281" w:rsidRPr="005F62EF" w:rsidRDefault="00556281" w:rsidP="00B67BA3">
            <w:pPr>
              <w:pStyle w:val="Default"/>
              <w:spacing w:after="60"/>
            </w:pPr>
            <w:r w:rsidRPr="005F62EF">
              <w:t xml:space="preserve">Online focus groups provide an element of comfort and security for some people who will more openly speak up if they’re in their own environment or are able to turn off a camera. </w:t>
            </w:r>
          </w:p>
          <w:p w14:paraId="10E05C26" w14:textId="77777777" w:rsidR="00556281" w:rsidRPr="005F62EF" w:rsidRDefault="00556281" w:rsidP="00B67BA3">
            <w:pPr>
              <w:pStyle w:val="Default"/>
              <w:spacing w:after="60"/>
            </w:pPr>
            <w:r w:rsidRPr="005F62EF">
              <w:t xml:space="preserve">Allows everyone the chance to have their say and be heard </w:t>
            </w:r>
          </w:p>
          <w:p w14:paraId="0A3BCFEF" w14:textId="77777777" w:rsidR="00556281" w:rsidRPr="005F62EF" w:rsidRDefault="00556281" w:rsidP="00B67BA3">
            <w:pPr>
              <w:pStyle w:val="Default"/>
              <w:spacing w:after="60"/>
            </w:pPr>
            <w:r w:rsidRPr="005F62EF">
              <w:t>Opportunity to hear from a range of individuals with diverse experiences.</w:t>
            </w:r>
          </w:p>
          <w:p w14:paraId="33A4CB28" w14:textId="77777777" w:rsidR="00556281" w:rsidRPr="005F62EF" w:rsidRDefault="00556281" w:rsidP="00B67BA3">
            <w:pPr>
              <w:spacing w:after="60"/>
              <w:rPr>
                <w:rFonts w:ascii="Arial" w:hAnsi="Arial" w:cs="Arial"/>
                <w:sz w:val="24"/>
                <w:szCs w:val="24"/>
              </w:rPr>
            </w:pPr>
          </w:p>
        </w:tc>
        <w:tc>
          <w:tcPr>
            <w:tcW w:w="5954" w:type="dxa"/>
          </w:tcPr>
          <w:p w14:paraId="5412945F" w14:textId="77777777" w:rsidR="00556281" w:rsidRPr="005F62EF" w:rsidRDefault="00556281" w:rsidP="00556281">
            <w:pPr>
              <w:pStyle w:val="Default"/>
              <w:numPr>
                <w:ilvl w:val="0"/>
                <w:numId w:val="1"/>
              </w:numPr>
              <w:spacing w:after="60"/>
            </w:pPr>
            <w:r w:rsidRPr="005F62EF">
              <w:t xml:space="preserve">1 lead facilitator and a note taker although you may benefit from an additional support facilitator with a group of more than 8, to ensure the lesser heard voices are actively encouraged to speak up. </w:t>
            </w:r>
          </w:p>
          <w:p w14:paraId="67D2EE5B" w14:textId="77777777" w:rsidR="00556281" w:rsidRPr="005F62EF" w:rsidRDefault="00556281" w:rsidP="00556281">
            <w:pPr>
              <w:pStyle w:val="Default"/>
              <w:numPr>
                <w:ilvl w:val="0"/>
                <w:numId w:val="1"/>
              </w:numPr>
              <w:spacing w:after="60"/>
            </w:pPr>
            <w:r w:rsidRPr="005F62EF">
              <w:t xml:space="preserve">Consent forms – completed and signed.  </w:t>
            </w:r>
          </w:p>
          <w:p w14:paraId="220EFDD7" w14:textId="77777777" w:rsidR="00556281" w:rsidRPr="005F62EF" w:rsidRDefault="00556281" w:rsidP="00556281">
            <w:pPr>
              <w:pStyle w:val="Default"/>
              <w:numPr>
                <w:ilvl w:val="0"/>
                <w:numId w:val="1"/>
              </w:numPr>
              <w:spacing w:after="60"/>
            </w:pPr>
            <w:r w:rsidRPr="005F62EF">
              <w:t xml:space="preserve">Terms of use (how you will use, </w:t>
            </w:r>
            <w:proofErr w:type="gramStart"/>
            <w:r w:rsidRPr="005F62EF">
              <w:t>retain</w:t>
            </w:r>
            <w:proofErr w:type="gramEnd"/>
            <w:r w:rsidRPr="005F62EF">
              <w:t xml:space="preserve"> and store the conversations captured)   </w:t>
            </w:r>
          </w:p>
          <w:p w14:paraId="342CE059" w14:textId="77777777" w:rsidR="00556281" w:rsidRPr="005F62EF" w:rsidRDefault="00556281" w:rsidP="00556281">
            <w:pPr>
              <w:pStyle w:val="Default"/>
              <w:numPr>
                <w:ilvl w:val="0"/>
                <w:numId w:val="1"/>
              </w:numPr>
              <w:spacing w:after="60"/>
            </w:pPr>
            <w:r w:rsidRPr="005F62EF">
              <w:t xml:space="preserve">For face to face focus </w:t>
            </w:r>
            <w:proofErr w:type="gramStart"/>
            <w:r w:rsidRPr="005F62EF">
              <w:t>groups</w:t>
            </w:r>
            <w:proofErr w:type="gramEnd"/>
            <w:r w:rsidRPr="005F62EF">
              <w:t xml:space="preserve"> it’s helpful to give out paper and pens to all participants so they can write down any points they may want to raise.</w:t>
            </w:r>
          </w:p>
          <w:p w14:paraId="38A7757F" w14:textId="77777777" w:rsidR="00556281" w:rsidRPr="005F62EF" w:rsidRDefault="00556281" w:rsidP="00556281">
            <w:pPr>
              <w:pStyle w:val="Default"/>
              <w:numPr>
                <w:ilvl w:val="0"/>
                <w:numId w:val="1"/>
              </w:numPr>
              <w:spacing w:after="60"/>
            </w:pPr>
            <w:r w:rsidRPr="005F62EF">
              <w:t>Post it notes.</w:t>
            </w:r>
          </w:p>
          <w:p w14:paraId="0B5367B3" w14:textId="77777777" w:rsidR="00556281" w:rsidRPr="005F62EF" w:rsidRDefault="00556281" w:rsidP="00556281">
            <w:pPr>
              <w:pStyle w:val="Default"/>
              <w:numPr>
                <w:ilvl w:val="0"/>
                <w:numId w:val="1"/>
              </w:numPr>
              <w:spacing w:after="60"/>
            </w:pPr>
            <w:r w:rsidRPr="005F62EF">
              <w:t>Recording equipment (audio) to capture conversations – but you would need to gain additional opt in/opt out consent for this.</w:t>
            </w:r>
          </w:p>
          <w:p w14:paraId="19BDFA59" w14:textId="77777777" w:rsidR="00556281" w:rsidRPr="005F62EF" w:rsidRDefault="00556281" w:rsidP="00556281">
            <w:pPr>
              <w:pStyle w:val="Default"/>
              <w:numPr>
                <w:ilvl w:val="0"/>
                <w:numId w:val="1"/>
              </w:numPr>
              <w:spacing w:after="60"/>
            </w:pPr>
            <w:r w:rsidRPr="005F62EF">
              <w:t xml:space="preserve">With a video call focus </w:t>
            </w:r>
            <w:proofErr w:type="gramStart"/>
            <w:r w:rsidRPr="005F62EF">
              <w:t>group</w:t>
            </w:r>
            <w:proofErr w:type="gramEnd"/>
            <w:r w:rsidRPr="005F62EF">
              <w:t xml:space="preserve"> you can use the record function – but gain written consent before the group meeting happens – don’t rely on the chat function for consent.  </w:t>
            </w:r>
          </w:p>
        </w:tc>
      </w:tr>
      <w:tr w:rsidR="00556281" w:rsidRPr="005F62EF" w14:paraId="48652C48" w14:textId="77777777" w:rsidTr="00421926">
        <w:tc>
          <w:tcPr>
            <w:tcW w:w="1838" w:type="dxa"/>
          </w:tcPr>
          <w:p w14:paraId="4FF73742" w14:textId="77777777" w:rsidR="00556281" w:rsidRPr="005F62EF" w:rsidRDefault="00556281" w:rsidP="00B67BA3">
            <w:pPr>
              <w:spacing w:after="60"/>
              <w:rPr>
                <w:rFonts w:ascii="Arial" w:hAnsi="Arial" w:cs="Arial"/>
                <w:b/>
                <w:bCs/>
                <w:sz w:val="24"/>
                <w:szCs w:val="24"/>
              </w:rPr>
            </w:pPr>
            <w:r w:rsidRPr="005F62EF">
              <w:rPr>
                <w:rFonts w:ascii="Arial" w:hAnsi="Arial" w:cs="Arial"/>
                <w:b/>
                <w:bCs/>
                <w:sz w:val="24"/>
                <w:szCs w:val="24"/>
              </w:rPr>
              <w:t>Interviews</w:t>
            </w:r>
          </w:p>
          <w:p w14:paraId="5A0FB30B" w14:textId="77777777" w:rsidR="00556281" w:rsidRPr="005F62EF" w:rsidRDefault="00556281" w:rsidP="00B67BA3">
            <w:pPr>
              <w:spacing w:after="60"/>
              <w:rPr>
                <w:rFonts w:ascii="Arial" w:hAnsi="Arial" w:cs="Arial"/>
                <w:sz w:val="24"/>
                <w:szCs w:val="24"/>
              </w:rPr>
            </w:pPr>
          </w:p>
        </w:tc>
        <w:tc>
          <w:tcPr>
            <w:tcW w:w="3686" w:type="dxa"/>
          </w:tcPr>
          <w:p w14:paraId="2754A58F" w14:textId="77777777" w:rsidR="00556281" w:rsidRPr="005F62EF" w:rsidRDefault="00556281" w:rsidP="00B67BA3">
            <w:pPr>
              <w:spacing w:after="60"/>
              <w:rPr>
                <w:rFonts w:ascii="Arial" w:hAnsi="Arial" w:cs="Arial"/>
                <w:sz w:val="24"/>
                <w:szCs w:val="24"/>
              </w:rPr>
            </w:pPr>
            <w:r w:rsidRPr="005F62EF">
              <w:rPr>
                <w:rFonts w:ascii="Arial" w:hAnsi="Arial" w:cs="Arial"/>
                <w:sz w:val="24"/>
                <w:szCs w:val="24"/>
              </w:rPr>
              <w:t>A one-to-one meeting (or a very small group discussion) designed for a specific purpose or objective.</w:t>
            </w:r>
          </w:p>
          <w:p w14:paraId="75601C63" w14:textId="77777777" w:rsidR="00556281" w:rsidRPr="005F62EF" w:rsidRDefault="00556281" w:rsidP="00B67BA3">
            <w:pPr>
              <w:spacing w:after="60"/>
              <w:rPr>
                <w:rFonts w:ascii="Arial" w:hAnsi="Arial" w:cs="Arial"/>
                <w:sz w:val="24"/>
                <w:szCs w:val="24"/>
              </w:rPr>
            </w:pPr>
          </w:p>
        </w:tc>
        <w:tc>
          <w:tcPr>
            <w:tcW w:w="3685" w:type="dxa"/>
          </w:tcPr>
          <w:p w14:paraId="032E0013" w14:textId="77777777" w:rsidR="00556281" w:rsidRPr="005F62EF" w:rsidRDefault="00556281" w:rsidP="00B67BA3">
            <w:pPr>
              <w:pStyle w:val="Default"/>
              <w:spacing w:after="60"/>
            </w:pPr>
            <w:r w:rsidRPr="005F62EF">
              <w:t>Good for building trust and rapport.</w:t>
            </w:r>
          </w:p>
          <w:p w14:paraId="16C580FE" w14:textId="77777777" w:rsidR="00556281" w:rsidRPr="005F62EF" w:rsidRDefault="00556281" w:rsidP="00B67BA3">
            <w:pPr>
              <w:pStyle w:val="Default"/>
              <w:spacing w:after="60"/>
            </w:pPr>
            <w:r w:rsidRPr="005F62EF">
              <w:t>Easier to obtain individual perspectives and ensure everyone gets a chance to have their say without following the crowd/what the majority say.</w:t>
            </w:r>
          </w:p>
          <w:p w14:paraId="31F24A92" w14:textId="77777777" w:rsidR="00556281" w:rsidRPr="005F62EF" w:rsidRDefault="00556281" w:rsidP="00B67BA3">
            <w:pPr>
              <w:pStyle w:val="Default"/>
              <w:spacing w:after="60"/>
            </w:pPr>
            <w:r w:rsidRPr="005F62EF">
              <w:t xml:space="preserve">Some people are more comfortable sharing their </w:t>
            </w:r>
            <w:r w:rsidRPr="005F62EF">
              <w:lastRenderedPageBreak/>
              <w:t xml:space="preserve">opinions in a one-to-one setting than a group setting </w:t>
            </w:r>
          </w:p>
          <w:p w14:paraId="372399A8" w14:textId="77777777" w:rsidR="00556281" w:rsidRPr="005F62EF" w:rsidRDefault="00556281" w:rsidP="00B67BA3">
            <w:pPr>
              <w:pStyle w:val="Default"/>
              <w:spacing w:after="60"/>
            </w:pPr>
            <w:r w:rsidRPr="005F62EF">
              <w:t xml:space="preserve">Can generate very detailed feedback </w:t>
            </w:r>
          </w:p>
        </w:tc>
        <w:tc>
          <w:tcPr>
            <w:tcW w:w="5954" w:type="dxa"/>
          </w:tcPr>
          <w:p w14:paraId="6BCA9AF8" w14:textId="77777777" w:rsidR="00556281" w:rsidRPr="005F62EF" w:rsidRDefault="00556281" w:rsidP="00556281">
            <w:pPr>
              <w:pStyle w:val="ListParagraph"/>
              <w:numPr>
                <w:ilvl w:val="0"/>
                <w:numId w:val="3"/>
              </w:numPr>
              <w:spacing w:after="60"/>
              <w:rPr>
                <w:rFonts w:ascii="Arial" w:hAnsi="Arial" w:cs="Arial"/>
                <w:sz w:val="24"/>
                <w:szCs w:val="24"/>
              </w:rPr>
            </w:pPr>
            <w:r w:rsidRPr="005F62EF">
              <w:rPr>
                <w:rFonts w:ascii="Arial" w:hAnsi="Arial" w:cs="Arial"/>
                <w:sz w:val="24"/>
                <w:szCs w:val="24"/>
              </w:rPr>
              <w:lastRenderedPageBreak/>
              <w:t>Consent forms with right to withdraw clauses explained.</w:t>
            </w:r>
          </w:p>
          <w:p w14:paraId="56A80D3C" w14:textId="77777777" w:rsidR="00556281" w:rsidRPr="005F62EF" w:rsidRDefault="00556281" w:rsidP="00556281">
            <w:pPr>
              <w:pStyle w:val="ListParagraph"/>
              <w:numPr>
                <w:ilvl w:val="0"/>
                <w:numId w:val="3"/>
              </w:numPr>
              <w:spacing w:after="60"/>
              <w:rPr>
                <w:rFonts w:ascii="Arial" w:hAnsi="Arial" w:cs="Arial"/>
                <w:sz w:val="24"/>
                <w:szCs w:val="24"/>
              </w:rPr>
            </w:pPr>
            <w:r w:rsidRPr="005F62EF">
              <w:rPr>
                <w:rFonts w:ascii="Arial" w:hAnsi="Arial" w:cs="Arial"/>
                <w:sz w:val="24"/>
                <w:szCs w:val="24"/>
              </w:rPr>
              <w:t>Audio recording (or record via teams or zoom with pre consent)</w:t>
            </w:r>
          </w:p>
          <w:p w14:paraId="08109B6E" w14:textId="77777777" w:rsidR="00556281" w:rsidRPr="005F62EF" w:rsidRDefault="00556281" w:rsidP="00556281">
            <w:pPr>
              <w:pStyle w:val="ListParagraph"/>
              <w:numPr>
                <w:ilvl w:val="0"/>
                <w:numId w:val="3"/>
              </w:numPr>
              <w:spacing w:after="60"/>
              <w:rPr>
                <w:rFonts w:ascii="Arial" w:hAnsi="Arial" w:cs="Arial"/>
                <w:sz w:val="24"/>
                <w:szCs w:val="24"/>
              </w:rPr>
            </w:pPr>
            <w:r w:rsidRPr="005F62EF">
              <w:rPr>
                <w:rFonts w:ascii="Arial" w:hAnsi="Arial" w:cs="Arial"/>
                <w:sz w:val="24"/>
                <w:szCs w:val="24"/>
              </w:rPr>
              <w:t>A confidential and comfortable space to hold the interview where there will be no interruptions</w:t>
            </w:r>
          </w:p>
          <w:p w14:paraId="00277C45" w14:textId="77777777" w:rsidR="00556281" w:rsidRPr="005F62EF" w:rsidRDefault="00556281" w:rsidP="00556281">
            <w:pPr>
              <w:pStyle w:val="ListParagraph"/>
              <w:numPr>
                <w:ilvl w:val="0"/>
                <w:numId w:val="3"/>
              </w:numPr>
              <w:spacing w:after="60"/>
              <w:rPr>
                <w:rFonts w:ascii="Arial" w:hAnsi="Arial" w:cs="Arial"/>
                <w:sz w:val="24"/>
                <w:szCs w:val="24"/>
              </w:rPr>
            </w:pPr>
            <w:r w:rsidRPr="005F62EF">
              <w:rPr>
                <w:rFonts w:ascii="Arial" w:hAnsi="Arial" w:cs="Arial"/>
                <w:sz w:val="24"/>
                <w:szCs w:val="24"/>
              </w:rPr>
              <w:t>Pre reading of the questions can be helpful for the interviewee – so provide these ahead of the interview where possible.</w:t>
            </w:r>
          </w:p>
          <w:p w14:paraId="05D7041D" w14:textId="77777777" w:rsidR="00556281" w:rsidRPr="005F62EF" w:rsidRDefault="00556281" w:rsidP="00556281">
            <w:pPr>
              <w:pStyle w:val="ListParagraph"/>
              <w:numPr>
                <w:ilvl w:val="0"/>
                <w:numId w:val="3"/>
              </w:numPr>
              <w:spacing w:after="60"/>
              <w:rPr>
                <w:rFonts w:ascii="Arial" w:hAnsi="Arial" w:cs="Arial"/>
                <w:sz w:val="24"/>
                <w:szCs w:val="24"/>
              </w:rPr>
            </w:pPr>
            <w:r w:rsidRPr="005F62EF">
              <w:rPr>
                <w:rFonts w:ascii="Arial" w:hAnsi="Arial" w:cs="Arial"/>
                <w:sz w:val="24"/>
                <w:szCs w:val="24"/>
              </w:rPr>
              <w:lastRenderedPageBreak/>
              <w:t xml:space="preserve">The opportunity for the interviewee to ask any questions before and after the interview.   </w:t>
            </w:r>
          </w:p>
          <w:p w14:paraId="24C583FC" w14:textId="77777777" w:rsidR="00556281" w:rsidRPr="005F62EF" w:rsidRDefault="00556281" w:rsidP="00556281">
            <w:pPr>
              <w:pStyle w:val="ListParagraph"/>
              <w:numPr>
                <w:ilvl w:val="0"/>
                <w:numId w:val="3"/>
              </w:numPr>
              <w:spacing w:after="60"/>
              <w:rPr>
                <w:rFonts w:ascii="Arial" w:hAnsi="Arial" w:cs="Arial"/>
                <w:sz w:val="24"/>
                <w:szCs w:val="24"/>
              </w:rPr>
            </w:pPr>
            <w:r w:rsidRPr="005F62EF">
              <w:rPr>
                <w:rFonts w:ascii="Arial" w:hAnsi="Arial" w:cs="Arial"/>
                <w:sz w:val="24"/>
                <w:szCs w:val="24"/>
              </w:rPr>
              <w:t>Communication support if needed – for the interviewee.</w:t>
            </w:r>
          </w:p>
        </w:tc>
      </w:tr>
      <w:tr w:rsidR="00556281" w:rsidRPr="005F62EF" w14:paraId="5409B1BA" w14:textId="77777777" w:rsidTr="00421926">
        <w:tc>
          <w:tcPr>
            <w:tcW w:w="1838" w:type="dxa"/>
          </w:tcPr>
          <w:p w14:paraId="6C608F9F" w14:textId="77777777" w:rsidR="00556281" w:rsidRPr="005F62EF" w:rsidRDefault="00556281" w:rsidP="00B67BA3">
            <w:pPr>
              <w:spacing w:after="60"/>
              <w:rPr>
                <w:rFonts w:ascii="Arial" w:hAnsi="Arial" w:cs="Arial"/>
                <w:b/>
                <w:sz w:val="24"/>
                <w:szCs w:val="24"/>
              </w:rPr>
            </w:pPr>
            <w:r w:rsidRPr="005F62EF">
              <w:rPr>
                <w:rFonts w:ascii="Arial" w:hAnsi="Arial" w:cs="Arial"/>
                <w:b/>
                <w:bCs/>
                <w:sz w:val="24"/>
                <w:szCs w:val="24"/>
              </w:rPr>
              <w:lastRenderedPageBreak/>
              <w:t>User/Reference Groups</w:t>
            </w:r>
          </w:p>
          <w:p w14:paraId="4F72B79A" w14:textId="77777777" w:rsidR="00556281" w:rsidRPr="005F62EF" w:rsidRDefault="00556281" w:rsidP="00B67BA3">
            <w:pPr>
              <w:spacing w:after="60"/>
              <w:rPr>
                <w:rFonts w:ascii="Arial" w:hAnsi="Arial" w:cs="Arial"/>
                <w:sz w:val="24"/>
                <w:szCs w:val="24"/>
              </w:rPr>
            </w:pPr>
          </w:p>
        </w:tc>
        <w:tc>
          <w:tcPr>
            <w:tcW w:w="3686" w:type="dxa"/>
          </w:tcPr>
          <w:p w14:paraId="7EFA7E0F" w14:textId="77777777" w:rsidR="00556281" w:rsidRPr="005F62EF" w:rsidRDefault="00556281" w:rsidP="00B67BA3">
            <w:pPr>
              <w:pStyle w:val="Default"/>
              <w:spacing w:after="60"/>
            </w:pPr>
            <w:r w:rsidRPr="005F62EF">
              <w:t xml:space="preserve">User or Reference Groups are ongoing advisory groups of a selected small group that meet over </w:t>
            </w:r>
            <w:proofErr w:type="gramStart"/>
            <w:r w:rsidRPr="005F62EF">
              <w:t>a period of time</w:t>
            </w:r>
            <w:proofErr w:type="gramEnd"/>
            <w:r w:rsidRPr="005F62EF">
              <w:t xml:space="preserve"> for the purpose of achieving specific objectives – and should link into decision making groups. A relatively formal recruitment process is usually </w:t>
            </w:r>
            <w:proofErr w:type="gramStart"/>
            <w:r w:rsidRPr="005F62EF">
              <w:t>used</w:t>
            </w:r>
            <w:proofErr w:type="gramEnd"/>
            <w:r w:rsidRPr="005F62EF">
              <w:t xml:space="preserve"> and the membership is selected to represent different elements of the local population. </w:t>
            </w:r>
          </w:p>
          <w:p w14:paraId="6AC313F6" w14:textId="77777777" w:rsidR="00556281" w:rsidRPr="005F62EF" w:rsidRDefault="00556281" w:rsidP="00B67BA3">
            <w:pPr>
              <w:spacing w:after="60"/>
              <w:rPr>
                <w:rFonts w:ascii="Arial" w:hAnsi="Arial" w:cs="Arial"/>
                <w:sz w:val="24"/>
                <w:szCs w:val="24"/>
              </w:rPr>
            </w:pPr>
            <w:r w:rsidRPr="005F62EF">
              <w:rPr>
                <w:rFonts w:ascii="Arial" w:hAnsi="Arial" w:cs="Arial"/>
                <w:sz w:val="24"/>
                <w:szCs w:val="24"/>
              </w:rPr>
              <w:t xml:space="preserve">Requires ongoing staff. </w:t>
            </w:r>
          </w:p>
          <w:p w14:paraId="58E1B0CA" w14:textId="77777777" w:rsidR="00556281" w:rsidRPr="005F62EF" w:rsidRDefault="00556281" w:rsidP="00B67BA3">
            <w:pPr>
              <w:spacing w:after="60"/>
              <w:rPr>
                <w:rFonts w:ascii="Arial" w:hAnsi="Arial" w:cs="Arial"/>
                <w:sz w:val="24"/>
                <w:szCs w:val="24"/>
              </w:rPr>
            </w:pPr>
            <w:r w:rsidRPr="005F62EF">
              <w:rPr>
                <w:rFonts w:ascii="Arial" w:hAnsi="Arial" w:cs="Arial"/>
                <w:sz w:val="24"/>
                <w:szCs w:val="24"/>
              </w:rPr>
              <w:t xml:space="preserve">Commitment to support, facilitate and administer the group. </w:t>
            </w:r>
          </w:p>
          <w:p w14:paraId="654808DA" w14:textId="77777777" w:rsidR="00556281" w:rsidRPr="005F62EF" w:rsidRDefault="00556281" w:rsidP="00B67BA3">
            <w:pPr>
              <w:spacing w:after="60"/>
              <w:rPr>
                <w:rFonts w:ascii="Arial" w:hAnsi="Arial" w:cs="Arial"/>
                <w:sz w:val="24"/>
                <w:szCs w:val="24"/>
              </w:rPr>
            </w:pPr>
            <w:r w:rsidRPr="005F62EF">
              <w:rPr>
                <w:rFonts w:ascii="Arial" w:hAnsi="Arial" w:cs="Arial"/>
                <w:sz w:val="24"/>
                <w:szCs w:val="24"/>
              </w:rPr>
              <w:t>Good facilitation is important.</w:t>
            </w:r>
          </w:p>
        </w:tc>
        <w:tc>
          <w:tcPr>
            <w:tcW w:w="3685" w:type="dxa"/>
          </w:tcPr>
          <w:p w14:paraId="17887A60" w14:textId="77777777" w:rsidR="00556281" w:rsidRPr="005F62EF" w:rsidRDefault="00556281" w:rsidP="00B67BA3">
            <w:pPr>
              <w:pStyle w:val="Default"/>
              <w:spacing w:after="60"/>
            </w:pPr>
            <w:r w:rsidRPr="005F62EF">
              <w:t>Helps build a sense of partnership and gives patients and carers a sense of ownership and empowerment.</w:t>
            </w:r>
          </w:p>
          <w:p w14:paraId="69CB6CEB" w14:textId="77777777" w:rsidR="00556281" w:rsidRPr="005F62EF" w:rsidRDefault="00556281" w:rsidP="00B67BA3">
            <w:pPr>
              <w:pStyle w:val="Default"/>
              <w:spacing w:after="60"/>
            </w:pPr>
            <w:r w:rsidRPr="005F62EF">
              <w:t xml:space="preserve">Creates the opportunity for ongoing, meaningful involvement </w:t>
            </w:r>
          </w:p>
          <w:p w14:paraId="3C1E6E7B" w14:textId="77777777" w:rsidR="00556281" w:rsidRPr="005F62EF" w:rsidRDefault="00556281" w:rsidP="00B67BA3">
            <w:pPr>
              <w:spacing w:after="60"/>
              <w:rPr>
                <w:rFonts w:ascii="Arial" w:hAnsi="Arial" w:cs="Arial"/>
                <w:sz w:val="24"/>
                <w:szCs w:val="24"/>
              </w:rPr>
            </w:pPr>
          </w:p>
        </w:tc>
        <w:tc>
          <w:tcPr>
            <w:tcW w:w="5954" w:type="dxa"/>
          </w:tcPr>
          <w:p w14:paraId="768128DE" w14:textId="77777777" w:rsidR="00556281" w:rsidRPr="005F62EF" w:rsidRDefault="00556281" w:rsidP="00B67BA3">
            <w:pPr>
              <w:pStyle w:val="Default"/>
              <w:spacing w:after="60"/>
            </w:pPr>
          </w:p>
        </w:tc>
      </w:tr>
      <w:tr w:rsidR="00556281" w:rsidRPr="005F62EF" w14:paraId="5F97B450" w14:textId="77777777" w:rsidTr="00421926">
        <w:tc>
          <w:tcPr>
            <w:tcW w:w="1838" w:type="dxa"/>
          </w:tcPr>
          <w:p w14:paraId="12F407C3" w14:textId="77777777" w:rsidR="00556281" w:rsidRPr="005F62EF" w:rsidRDefault="00556281" w:rsidP="00B67BA3">
            <w:pPr>
              <w:spacing w:after="60"/>
              <w:rPr>
                <w:rFonts w:ascii="Arial" w:hAnsi="Arial" w:cs="Arial"/>
                <w:b/>
                <w:sz w:val="24"/>
                <w:szCs w:val="24"/>
              </w:rPr>
            </w:pPr>
            <w:r w:rsidRPr="005F62EF">
              <w:rPr>
                <w:rFonts w:ascii="Arial" w:hAnsi="Arial" w:cs="Arial"/>
                <w:b/>
                <w:bCs/>
                <w:sz w:val="24"/>
                <w:szCs w:val="24"/>
              </w:rPr>
              <w:t>Patient Representatives</w:t>
            </w:r>
          </w:p>
          <w:p w14:paraId="36DA797D" w14:textId="77777777" w:rsidR="00556281" w:rsidRPr="005F62EF" w:rsidRDefault="00556281" w:rsidP="00B67BA3">
            <w:pPr>
              <w:spacing w:after="60"/>
              <w:rPr>
                <w:rFonts w:ascii="Arial" w:hAnsi="Arial" w:cs="Arial"/>
                <w:sz w:val="24"/>
                <w:szCs w:val="24"/>
              </w:rPr>
            </w:pPr>
          </w:p>
        </w:tc>
        <w:tc>
          <w:tcPr>
            <w:tcW w:w="3686" w:type="dxa"/>
          </w:tcPr>
          <w:p w14:paraId="76738C58" w14:textId="77777777" w:rsidR="00556281" w:rsidRPr="005F62EF" w:rsidRDefault="00556281" w:rsidP="00B67BA3">
            <w:pPr>
              <w:pStyle w:val="Default"/>
              <w:spacing w:after="60"/>
            </w:pPr>
            <w:r w:rsidRPr="005F62EF">
              <w:t>Two or three service users are selected to be representatives of the larger population.</w:t>
            </w:r>
          </w:p>
          <w:p w14:paraId="49DC074D" w14:textId="77777777" w:rsidR="00556281" w:rsidRPr="005F62EF" w:rsidRDefault="00556281" w:rsidP="00B67BA3">
            <w:pPr>
              <w:pStyle w:val="Default"/>
              <w:spacing w:after="60"/>
            </w:pPr>
            <w:r w:rsidRPr="005F62EF">
              <w:t xml:space="preserve">They sit on decision-making groups alongside professionals. </w:t>
            </w:r>
          </w:p>
          <w:p w14:paraId="1910EE37" w14:textId="77777777" w:rsidR="00556281" w:rsidRPr="005F62EF" w:rsidRDefault="00556281" w:rsidP="00B67BA3">
            <w:pPr>
              <w:spacing w:after="60"/>
              <w:rPr>
                <w:rFonts w:ascii="Arial" w:hAnsi="Arial" w:cs="Arial"/>
                <w:sz w:val="24"/>
                <w:szCs w:val="24"/>
              </w:rPr>
            </w:pPr>
            <w:r w:rsidRPr="005F62EF">
              <w:rPr>
                <w:rFonts w:ascii="Arial" w:hAnsi="Arial" w:cs="Arial"/>
                <w:sz w:val="24"/>
                <w:szCs w:val="24"/>
              </w:rPr>
              <w:t>This level of involvement requires ongoing support and development/training to be effective.</w:t>
            </w:r>
          </w:p>
        </w:tc>
        <w:tc>
          <w:tcPr>
            <w:tcW w:w="3685" w:type="dxa"/>
          </w:tcPr>
          <w:p w14:paraId="398F7445" w14:textId="77777777" w:rsidR="00556281" w:rsidRPr="005F62EF" w:rsidRDefault="00556281" w:rsidP="00B67BA3">
            <w:pPr>
              <w:pStyle w:val="Default"/>
              <w:spacing w:after="60"/>
            </w:pPr>
            <w:r w:rsidRPr="005F62EF">
              <w:t xml:space="preserve">Adds a service user perspective right where decisions are made. </w:t>
            </w:r>
          </w:p>
          <w:p w14:paraId="4F6C4F0F" w14:textId="77777777" w:rsidR="00556281" w:rsidRPr="005F62EF" w:rsidRDefault="00556281" w:rsidP="00B67BA3">
            <w:pPr>
              <w:pStyle w:val="Default"/>
              <w:spacing w:after="60"/>
            </w:pPr>
            <w:r w:rsidRPr="005F62EF">
              <w:t xml:space="preserve">Encourages equal partnership working. </w:t>
            </w:r>
          </w:p>
          <w:p w14:paraId="0921E40B" w14:textId="77777777" w:rsidR="00556281" w:rsidRPr="005F62EF" w:rsidRDefault="00556281" w:rsidP="00B67BA3">
            <w:pPr>
              <w:spacing w:after="60"/>
              <w:rPr>
                <w:rFonts w:ascii="Arial" w:hAnsi="Arial" w:cs="Arial"/>
                <w:sz w:val="24"/>
                <w:szCs w:val="24"/>
              </w:rPr>
            </w:pPr>
          </w:p>
        </w:tc>
        <w:tc>
          <w:tcPr>
            <w:tcW w:w="5954" w:type="dxa"/>
          </w:tcPr>
          <w:p w14:paraId="74363B8E" w14:textId="77777777" w:rsidR="00556281" w:rsidRPr="005F62EF" w:rsidRDefault="00556281" w:rsidP="00B67BA3">
            <w:pPr>
              <w:pStyle w:val="Default"/>
              <w:spacing w:after="60"/>
            </w:pPr>
          </w:p>
        </w:tc>
      </w:tr>
      <w:tr w:rsidR="00556281" w:rsidRPr="005F62EF" w14:paraId="0188FE12" w14:textId="77777777" w:rsidTr="00421926">
        <w:tc>
          <w:tcPr>
            <w:tcW w:w="1838" w:type="dxa"/>
          </w:tcPr>
          <w:p w14:paraId="59ED5979" w14:textId="77777777" w:rsidR="00556281" w:rsidRPr="005F62EF" w:rsidRDefault="00556281" w:rsidP="00B67BA3">
            <w:pPr>
              <w:spacing w:after="60"/>
              <w:rPr>
                <w:rFonts w:ascii="Arial" w:hAnsi="Arial" w:cs="Arial"/>
                <w:b/>
                <w:sz w:val="24"/>
                <w:szCs w:val="24"/>
              </w:rPr>
            </w:pPr>
            <w:r w:rsidRPr="005F62EF">
              <w:rPr>
                <w:rFonts w:ascii="Arial" w:hAnsi="Arial" w:cs="Arial"/>
                <w:b/>
                <w:bCs/>
                <w:sz w:val="24"/>
                <w:szCs w:val="24"/>
              </w:rPr>
              <w:lastRenderedPageBreak/>
              <w:t>Online networks</w:t>
            </w:r>
          </w:p>
          <w:p w14:paraId="018E4CD4" w14:textId="77777777" w:rsidR="00556281" w:rsidRPr="005F62EF" w:rsidRDefault="00556281" w:rsidP="00B67BA3">
            <w:pPr>
              <w:spacing w:after="60"/>
              <w:rPr>
                <w:rFonts w:ascii="Arial" w:hAnsi="Arial" w:cs="Arial"/>
                <w:sz w:val="24"/>
                <w:szCs w:val="24"/>
              </w:rPr>
            </w:pPr>
          </w:p>
        </w:tc>
        <w:tc>
          <w:tcPr>
            <w:tcW w:w="3686" w:type="dxa"/>
          </w:tcPr>
          <w:p w14:paraId="4B261AA3" w14:textId="77777777" w:rsidR="00556281" w:rsidRPr="005F62EF" w:rsidRDefault="00556281" w:rsidP="00B67BA3">
            <w:pPr>
              <w:spacing w:after="60"/>
              <w:rPr>
                <w:rFonts w:ascii="Arial" w:hAnsi="Arial" w:cs="Arial"/>
                <w:sz w:val="24"/>
                <w:szCs w:val="24"/>
              </w:rPr>
            </w:pPr>
            <w:r w:rsidRPr="005F62EF">
              <w:rPr>
                <w:rFonts w:ascii="Arial" w:hAnsi="Arial" w:cs="Arial"/>
                <w:sz w:val="24"/>
                <w:szCs w:val="24"/>
              </w:rPr>
              <w:t xml:space="preserve">A network of people who are willing to be engaged in an ad-hoc way, mainly via email although a dedicated and closed social media platform – such as Facebook or WhatsApp could be used </w:t>
            </w:r>
            <w:proofErr w:type="gramStart"/>
            <w:r w:rsidRPr="005F62EF">
              <w:rPr>
                <w:rFonts w:ascii="Arial" w:hAnsi="Arial" w:cs="Arial"/>
                <w:sz w:val="24"/>
                <w:szCs w:val="24"/>
              </w:rPr>
              <w:t>as long as</w:t>
            </w:r>
            <w:proofErr w:type="gramEnd"/>
            <w:r w:rsidRPr="005F62EF">
              <w:rPr>
                <w:rFonts w:ascii="Arial" w:hAnsi="Arial" w:cs="Arial"/>
                <w:sz w:val="24"/>
                <w:szCs w:val="24"/>
              </w:rPr>
              <w:t xml:space="preserve"> consents/information/rules are managed appropriately.   </w:t>
            </w:r>
          </w:p>
          <w:p w14:paraId="0FD8ACD8" w14:textId="77777777" w:rsidR="00556281" w:rsidRPr="005F62EF" w:rsidRDefault="00556281" w:rsidP="00B67BA3">
            <w:pPr>
              <w:spacing w:after="60"/>
              <w:rPr>
                <w:rFonts w:ascii="Arial" w:hAnsi="Arial" w:cs="Arial"/>
                <w:sz w:val="24"/>
                <w:szCs w:val="24"/>
              </w:rPr>
            </w:pPr>
            <w:r w:rsidRPr="005F62EF">
              <w:rPr>
                <w:rFonts w:ascii="Arial" w:hAnsi="Arial" w:cs="Arial"/>
                <w:sz w:val="24"/>
                <w:szCs w:val="24"/>
              </w:rPr>
              <w:t>These people can also be invited along to focus groups etc. as appropriate.</w:t>
            </w:r>
          </w:p>
        </w:tc>
        <w:tc>
          <w:tcPr>
            <w:tcW w:w="3685" w:type="dxa"/>
          </w:tcPr>
          <w:p w14:paraId="066BA04E" w14:textId="77777777" w:rsidR="00556281" w:rsidRPr="005F62EF" w:rsidRDefault="00556281" w:rsidP="00B67BA3">
            <w:pPr>
              <w:pStyle w:val="Default"/>
              <w:spacing w:after="60"/>
              <w:ind w:left="-57"/>
            </w:pPr>
            <w:r w:rsidRPr="005F62EF">
              <w:t xml:space="preserve">An efficient and cost-free way of keeping in regular contact with people and maintaining relationships with those who want to be engaged in an ongoing way. </w:t>
            </w:r>
          </w:p>
          <w:p w14:paraId="69F18EE6" w14:textId="77777777" w:rsidR="00556281" w:rsidRPr="005F62EF" w:rsidRDefault="00556281" w:rsidP="00B67BA3">
            <w:pPr>
              <w:spacing w:after="60"/>
              <w:rPr>
                <w:rFonts w:ascii="Arial" w:hAnsi="Arial" w:cs="Arial"/>
                <w:sz w:val="24"/>
                <w:szCs w:val="24"/>
              </w:rPr>
            </w:pPr>
          </w:p>
        </w:tc>
        <w:tc>
          <w:tcPr>
            <w:tcW w:w="5954" w:type="dxa"/>
          </w:tcPr>
          <w:p w14:paraId="73040117" w14:textId="77777777" w:rsidR="00556281" w:rsidRPr="005F62EF" w:rsidRDefault="00556281" w:rsidP="00556281">
            <w:pPr>
              <w:pStyle w:val="ListParagraph"/>
              <w:numPr>
                <w:ilvl w:val="0"/>
                <w:numId w:val="4"/>
              </w:numPr>
              <w:spacing w:after="60"/>
              <w:rPr>
                <w:rFonts w:ascii="Arial" w:hAnsi="Arial" w:cs="Arial"/>
                <w:sz w:val="24"/>
                <w:szCs w:val="24"/>
              </w:rPr>
            </w:pPr>
            <w:r w:rsidRPr="005F62EF">
              <w:rPr>
                <w:rFonts w:ascii="Arial" w:hAnsi="Arial" w:cs="Arial"/>
                <w:sz w:val="24"/>
                <w:szCs w:val="24"/>
              </w:rPr>
              <w:t xml:space="preserve">A password protected and secure system for storing and retrieving personal data. </w:t>
            </w:r>
          </w:p>
          <w:p w14:paraId="7BAAD300" w14:textId="77777777" w:rsidR="00556281" w:rsidRPr="005F62EF" w:rsidRDefault="00556281" w:rsidP="00556281">
            <w:pPr>
              <w:pStyle w:val="ListParagraph"/>
              <w:numPr>
                <w:ilvl w:val="0"/>
                <w:numId w:val="4"/>
              </w:numPr>
              <w:spacing w:after="60"/>
              <w:rPr>
                <w:rFonts w:ascii="Arial" w:hAnsi="Arial" w:cs="Arial"/>
                <w:sz w:val="24"/>
                <w:szCs w:val="24"/>
              </w:rPr>
            </w:pPr>
            <w:r w:rsidRPr="005F62EF">
              <w:rPr>
                <w:rFonts w:ascii="Arial" w:hAnsi="Arial" w:cs="Arial"/>
                <w:sz w:val="24"/>
                <w:szCs w:val="24"/>
              </w:rPr>
              <w:t>GDPR (and Data Protection Act 2018) compliance measures in place, consents gathered (and updated every 2 years) for storing and retrieving data.</w:t>
            </w:r>
          </w:p>
          <w:p w14:paraId="636DACBF" w14:textId="77777777" w:rsidR="00556281" w:rsidRPr="005F62EF" w:rsidRDefault="00556281" w:rsidP="00556281">
            <w:pPr>
              <w:pStyle w:val="ListParagraph"/>
              <w:numPr>
                <w:ilvl w:val="0"/>
                <w:numId w:val="4"/>
              </w:numPr>
              <w:spacing w:after="60"/>
              <w:rPr>
                <w:rFonts w:ascii="Arial" w:hAnsi="Arial" w:cs="Arial"/>
                <w:sz w:val="24"/>
                <w:szCs w:val="24"/>
              </w:rPr>
            </w:pPr>
            <w:r w:rsidRPr="005F62EF">
              <w:rPr>
                <w:rFonts w:ascii="Arial" w:hAnsi="Arial" w:cs="Arial"/>
                <w:sz w:val="24"/>
                <w:szCs w:val="24"/>
              </w:rPr>
              <w:t xml:space="preserve">Moderators for social media groups. </w:t>
            </w:r>
          </w:p>
        </w:tc>
      </w:tr>
      <w:tr w:rsidR="00556281" w:rsidRPr="005F62EF" w14:paraId="2B79F9E8" w14:textId="77777777" w:rsidTr="00421926">
        <w:tc>
          <w:tcPr>
            <w:tcW w:w="1838" w:type="dxa"/>
          </w:tcPr>
          <w:p w14:paraId="7F87B47A" w14:textId="77777777" w:rsidR="00556281" w:rsidRPr="005F62EF" w:rsidRDefault="00556281" w:rsidP="00B67BA3">
            <w:pPr>
              <w:spacing w:after="60"/>
              <w:rPr>
                <w:rFonts w:ascii="Arial" w:hAnsi="Arial" w:cs="Arial"/>
                <w:b/>
                <w:bCs/>
                <w:sz w:val="24"/>
                <w:szCs w:val="24"/>
              </w:rPr>
            </w:pPr>
            <w:r w:rsidRPr="005F62EF">
              <w:rPr>
                <w:rFonts w:ascii="Arial" w:hAnsi="Arial" w:cs="Arial"/>
                <w:b/>
                <w:bCs/>
                <w:sz w:val="24"/>
                <w:szCs w:val="24"/>
              </w:rPr>
              <w:t>Questionnaire</w:t>
            </w:r>
          </w:p>
          <w:p w14:paraId="1423B884" w14:textId="77777777" w:rsidR="00556281" w:rsidRPr="005F62EF" w:rsidRDefault="00556281" w:rsidP="00B67BA3">
            <w:pPr>
              <w:spacing w:after="60"/>
              <w:rPr>
                <w:rFonts w:ascii="Arial" w:hAnsi="Arial" w:cs="Arial"/>
                <w:bCs/>
                <w:sz w:val="24"/>
                <w:szCs w:val="24"/>
              </w:rPr>
            </w:pPr>
          </w:p>
        </w:tc>
        <w:tc>
          <w:tcPr>
            <w:tcW w:w="3686" w:type="dxa"/>
          </w:tcPr>
          <w:p w14:paraId="396A5946" w14:textId="77777777" w:rsidR="00556281" w:rsidRPr="005F62EF" w:rsidRDefault="00556281" w:rsidP="00B67BA3">
            <w:pPr>
              <w:spacing w:after="60"/>
              <w:rPr>
                <w:rFonts w:ascii="Arial" w:hAnsi="Arial" w:cs="Arial"/>
                <w:sz w:val="24"/>
                <w:szCs w:val="24"/>
              </w:rPr>
            </w:pPr>
            <w:r w:rsidRPr="005F62EF">
              <w:rPr>
                <w:rFonts w:ascii="Arial" w:hAnsi="Arial" w:cs="Arial"/>
                <w:sz w:val="24"/>
                <w:szCs w:val="24"/>
              </w:rPr>
              <w:t>Gathering feedback via survey – either online or on paper. Questions can also be asked in person or over the phone</w:t>
            </w:r>
          </w:p>
        </w:tc>
        <w:tc>
          <w:tcPr>
            <w:tcW w:w="3685" w:type="dxa"/>
          </w:tcPr>
          <w:p w14:paraId="3FEFAA8C" w14:textId="77777777" w:rsidR="00556281" w:rsidRPr="005F62EF" w:rsidRDefault="00556281" w:rsidP="00B67BA3">
            <w:pPr>
              <w:pStyle w:val="Default"/>
              <w:spacing w:after="60"/>
            </w:pPr>
            <w:r w:rsidRPr="005F62EF">
              <w:t xml:space="preserve">Useful for accessing/collecting larger amounts of feedback. </w:t>
            </w:r>
          </w:p>
          <w:p w14:paraId="686E87B6" w14:textId="77777777" w:rsidR="00556281" w:rsidRPr="005F62EF" w:rsidRDefault="00556281" w:rsidP="00B67BA3">
            <w:pPr>
              <w:pStyle w:val="Default"/>
              <w:spacing w:after="60"/>
            </w:pPr>
            <w:r w:rsidRPr="005F62EF">
              <w:t xml:space="preserve">Data is often easier to analyse. </w:t>
            </w:r>
          </w:p>
          <w:p w14:paraId="73593C90" w14:textId="77777777" w:rsidR="00556281" w:rsidRPr="005F62EF" w:rsidRDefault="00556281" w:rsidP="00B67BA3">
            <w:pPr>
              <w:pStyle w:val="Default"/>
              <w:spacing w:after="60"/>
            </w:pPr>
            <w:r w:rsidRPr="005F62EF">
              <w:t>Online surveys can be cost free.</w:t>
            </w:r>
          </w:p>
          <w:p w14:paraId="41754C49" w14:textId="77777777" w:rsidR="00556281" w:rsidRPr="005F62EF" w:rsidRDefault="00556281" w:rsidP="00B67BA3">
            <w:pPr>
              <w:pStyle w:val="Default"/>
              <w:spacing w:after="60"/>
            </w:pPr>
            <w:r w:rsidRPr="005F62EF">
              <w:t>Can be a quicker form of engagement – both for service provider and service user.</w:t>
            </w:r>
          </w:p>
        </w:tc>
        <w:tc>
          <w:tcPr>
            <w:tcW w:w="5954" w:type="dxa"/>
          </w:tcPr>
          <w:p w14:paraId="4BFC5C9E" w14:textId="77777777" w:rsidR="00556281" w:rsidRPr="005F62EF" w:rsidRDefault="00556281" w:rsidP="00B67BA3">
            <w:pPr>
              <w:pStyle w:val="Default"/>
              <w:spacing w:after="60"/>
            </w:pPr>
          </w:p>
        </w:tc>
      </w:tr>
    </w:tbl>
    <w:p w14:paraId="01751153" w14:textId="77777777" w:rsidR="00556281" w:rsidRPr="004B6C47" w:rsidRDefault="00556281" w:rsidP="00556281">
      <w:pPr>
        <w:spacing w:after="60" w:line="240" w:lineRule="auto"/>
        <w:rPr>
          <w:rFonts w:cstheme="minorHAnsi"/>
        </w:rPr>
      </w:pPr>
    </w:p>
    <w:p w14:paraId="3689A058" w14:textId="44A1899A" w:rsidR="006600E1" w:rsidRPr="00556281" w:rsidRDefault="006600E1" w:rsidP="00556281">
      <w:pPr>
        <w:rPr>
          <w:rFonts w:cstheme="minorHAnsi"/>
        </w:rPr>
      </w:pPr>
    </w:p>
    <w:sectPr w:rsidR="006600E1" w:rsidRPr="00556281" w:rsidSect="00421926">
      <w:headerReference w:type="default" r:id="rId11"/>
      <w:footerReference w:type="default" r:id="rId1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B94D" w14:textId="77777777" w:rsidR="005F62EF" w:rsidRDefault="005F62EF" w:rsidP="005F62EF">
      <w:pPr>
        <w:spacing w:after="0" w:line="240" w:lineRule="auto"/>
      </w:pPr>
      <w:r>
        <w:separator/>
      </w:r>
    </w:p>
  </w:endnote>
  <w:endnote w:type="continuationSeparator" w:id="0">
    <w:p w14:paraId="7B2E0A76" w14:textId="77777777" w:rsidR="005F62EF" w:rsidRDefault="005F62EF" w:rsidP="005F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618C" w14:textId="7A265F69" w:rsidR="005F62EF" w:rsidRPr="005F62EF" w:rsidRDefault="005F62EF">
    <w:pPr>
      <w:pStyle w:val="Footer"/>
      <w:rPr>
        <w:rFonts w:ascii="Arial" w:hAnsi="Arial" w:cs="Arial"/>
      </w:rPr>
    </w:pPr>
    <w:r w:rsidRPr="005F62EF">
      <w:rPr>
        <w:rFonts w:ascii="Arial" w:hAnsi="Arial" w:cs="Arial"/>
      </w:rPr>
      <w:t>GMNISDN PPI Involvement Approaches V1</w:t>
    </w:r>
  </w:p>
  <w:p w14:paraId="06E93CA7" w14:textId="77777777" w:rsidR="005F62EF" w:rsidRDefault="005F6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B5D3" w14:textId="77777777" w:rsidR="005F62EF" w:rsidRDefault="005F62EF" w:rsidP="005F62EF">
      <w:pPr>
        <w:spacing w:after="0" w:line="240" w:lineRule="auto"/>
      </w:pPr>
      <w:r>
        <w:separator/>
      </w:r>
    </w:p>
  </w:footnote>
  <w:footnote w:type="continuationSeparator" w:id="0">
    <w:p w14:paraId="1DF30CB5" w14:textId="77777777" w:rsidR="005F62EF" w:rsidRDefault="005F62EF" w:rsidP="005F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619419"/>
      <w:docPartObj>
        <w:docPartGallery w:val="Page Numbers (Top of Page)"/>
        <w:docPartUnique/>
      </w:docPartObj>
    </w:sdtPr>
    <w:sdtEndPr>
      <w:rPr>
        <w:noProof/>
      </w:rPr>
    </w:sdtEndPr>
    <w:sdtContent>
      <w:p w14:paraId="1D437293" w14:textId="13E842EE" w:rsidR="00421926" w:rsidRDefault="0042192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F0327A" w14:textId="77777777" w:rsidR="00421926" w:rsidRDefault="00421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9BA"/>
    <w:multiLevelType w:val="hybridMultilevel"/>
    <w:tmpl w:val="F87A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A1B1A"/>
    <w:multiLevelType w:val="hybridMultilevel"/>
    <w:tmpl w:val="D7B8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672A54"/>
    <w:multiLevelType w:val="hybridMultilevel"/>
    <w:tmpl w:val="285E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249EE"/>
    <w:multiLevelType w:val="hybridMultilevel"/>
    <w:tmpl w:val="FC72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446073">
    <w:abstractNumId w:val="0"/>
  </w:num>
  <w:num w:numId="2" w16cid:durableId="368727818">
    <w:abstractNumId w:val="2"/>
  </w:num>
  <w:num w:numId="3" w16cid:durableId="2033606433">
    <w:abstractNumId w:val="1"/>
  </w:num>
  <w:num w:numId="4" w16cid:durableId="313338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81"/>
    <w:rsid w:val="000678A9"/>
    <w:rsid w:val="000C470B"/>
    <w:rsid w:val="00421926"/>
    <w:rsid w:val="00556281"/>
    <w:rsid w:val="005F62EF"/>
    <w:rsid w:val="006600E1"/>
    <w:rsid w:val="00D8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9260"/>
  <w15:chartTrackingRefBased/>
  <w15:docId w15:val="{231D0CDB-B596-4B01-9908-B78657DA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6281"/>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5562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556281"/>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556281"/>
  </w:style>
  <w:style w:type="paragraph" w:styleId="Header">
    <w:name w:val="header"/>
    <w:basedOn w:val="Normal"/>
    <w:link w:val="HeaderChar"/>
    <w:uiPriority w:val="99"/>
    <w:unhideWhenUsed/>
    <w:rsid w:val="005F6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2EF"/>
  </w:style>
  <w:style w:type="paragraph" w:styleId="Footer">
    <w:name w:val="footer"/>
    <w:basedOn w:val="Normal"/>
    <w:link w:val="FooterChar"/>
    <w:uiPriority w:val="99"/>
    <w:unhideWhenUsed/>
    <w:rsid w:val="005F6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32b5bc-f7a5-4dc6-bd76-001953930085">
      <Terms xmlns="http://schemas.microsoft.com/office/infopath/2007/PartnerControls"/>
    </lcf76f155ced4ddcb4097134ff3c332f>
    <TaxCatchAll xmlns="7632a656-cdcf-4f5d-aa6e-81397305cf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B08A447B4D7F4F81F5C517BEB5B9E0" ma:contentTypeVersion="15" ma:contentTypeDescription="Create a new document." ma:contentTypeScope="" ma:versionID="ad81d6c2eb6cd69000da6bb46a41663f">
  <xsd:schema xmlns:xsd="http://www.w3.org/2001/XMLSchema" xmlns:xs="http://www.w3.org/2001/XMLSchema" xmlns:p="http://schemas.microsoft.com/office/2006/metadata/properties" xmlns:ns2="1332b5bc-f7a5-4dc6-bd76-001953930085" xmlns:ns3="7632a656-cdcf-4f5d-aa6e-81397305cf2c" targetNamespace="http://schemas.microsoft.com/office/2006/metadata/properties" ma:root="true" ma:fieldsID="5830a86ad7f906711db32b3710b40bfe" ns2:_="" ns3:_="">
    <xsd:import namespace="1332b5bc-f7a5-4dc6-bd76-001953930085"/>
    <xsd:import namespace="7632a656-cdcf-4f5d-aa6e-81397305c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2b5bc-f7a5-4dc6-bd76-001953930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2a656-cdcf-4f5d-aa6e-81397305cf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58376a-db18-4e8c-892f-65f3ce8b3452}" ma:internalName="TaxCatchAll" ma:showField="CatchAllData" ma:web="7632a656-cdcf-4f5d-aa6e-81397305cf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CAB32-26BC-4784-A351-C2A50824836F}">
  <ds:schemaRefs>
    <ds:schemaRef ds:uri="http://schemas.microsoft.com/office/2006/metadata/properties"/>
    <ds:schemaRef ds:uri="http://schemas.microsoft.com/office/infopath/2007/PartnerControls"/>
    <ds:schemaRef ds:uri="1332b5bc-f7a5-4dc6-bd76-001953930085"/>
    <ds:schemaRef ds:uri="7632a656-cdcf-4f5d-aa6e-81397305cf2c"/>
  </ds:schemaRefs>
</ds:datastoreItem>
</file>

<file path=customXml/itemProps2.xml><?xml version="1.0" encoding="utf-8"?>
<ds:datastoreItem xmlns:ds="http://schemas.openxmlformats.org/officeDocument/2006/customXml" ds:itemID="{5A8A8234-2F76-48A2-8A7C-52BA944441D9}">
  <ds:schemaRefs>
    <ds:schemaRef ds:uri="http://schemas.microsoft.com/sharepoint/v3/contenttype/forms"/>
  </ds:schemaRefs>
</ds:datastoreItem>
</file>

<file path=customXml/itemProps3.xml><?xml version="1.0" encoding="utf-8"?>
<ds:datastoreItem xmlns:ds="http://schemas.openxmlformats.org/officeDocument/2006/customXml" ds:itemID="{BA41C9E6-AE5A-40AB-B7DD-54DE9941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2b5bc-f7a5-4dc6-bd76-001953930085"/>
    <ds:schemaRef ds:uri="7632a656-cdcf-4f5d-aa6e-81397305c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918</Words>
  <Characters>5237</Characters>
  <Application>Microsoft Office Word</Application>
  <DocSecurity>0</DocSecurity>
  <Lines>43</Lines>
  <Paragraphs>12</Paragraphs>
  <ScaleCrop>false</ScaleCrop>
  <Company>Salford Royal Foundation Trust</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Bisset</dc:creator>
  <cp:keywords/>
  <dc:description/>
  <cp:lastModifiedBy>Sarah Rickard</cp:lastModifiedBy>
  <cp:revision>3</cp:revision>
  <dcterms:created xsi:type="dcterms:W3CDTF">2024-07-18T10:24:00Z</dcterms:created>
  <dcterms:modified xsi:type="dcterms:W3CDTF">2024-10-03T09:09:00Z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0x010100F2B08A447B4D7F4F81F5C517BEB5B9E0</vt:lpwstr>
  </property>
  <property fmtid="{D5CDD505-2E9C-101B-9397-08002B2CF9AE}" pid="3" name="MediaServiceImageTags">
    <vt:lpwstr/>
  </property>
</Properties>
</file>